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0F903" w14:textId="7E12B604" w:rsidR="0091262A" w:rsidRDefault="002655B3" w:rsidP="00351EB0">
      <w:pPr>
        <w:pStyle w:val="Listeafsnit"/>
        <w:spacing w:line="276" w:lineRule="auto"/>
        <w:jc w:val="center"/>
        <w:rPr>
          <w:b/>
          <w:bCs/>
          <w:sz w:val="28"/>
          <w:szCs w:val="28"/>
        </w:rPr>
      </w:pPr>
      <w:r w:rsidRPr="00803C3C">
        <w:rPr>
          <w:b/>
          <w:bCs/>
          <w:sz w:val="28"/>
          <w:szCs w:val="28"/>
        </w:rPr>
        <w:t>GRUNDEJERFO</w:t>
      </w:r>
      <w:r w:rsidR="00351EB0">
        <w:rPr>
          <w:b/>
          <w:bCs/>
          <w:sz w:val="28"/>
          <w:szCs w:val="28"/>
        </w:rPr>
        <w:t>R</w:t>
      </w:r>
      <w:r w:rsidRPr="00803C3C">
        <w:rPr>
          <w:b/>
          <w:bCs/>
          <w:sz w:val="28"/>
          <w:szCs w:val="28"/>
        </w:rPr>
        <w:t>ENINGEN DYREKÆRGÅRD</w:t>
      </w:r>
    </w:p>
    <w:p w14:paraId="5B466FAA" w14:textId="77777777" w:rsidR="006F2065" w:rsidRDefault="006F2065" w:rsidP="00351EB0">
      <w:pPr>
        <w:pStyle w:val="Listeafsnit"/>
        <w:spacing w:line="276" w:lineRule="auto"/>
        <w:jc w:val="both"/>
        <w:rPr>
          <w:b/>
          <w:bCs/>
          <w:sz w:val="28"/>
          <w:szCs w:val="28"/>
        </w:rPr>
      </w:pPr>
    </w:p>
    <w:p w14:paraId="26458EDD" w14:textId="77777777" w:rsidR="006F2065" w:rsidRDefault="006F2065" w:rsidP="00351EB0">
      <w:pPr>
        <w:pStyle w:val="Listeafsnit"/>
        <w:spacing w:line="276" w:lineRule="auto"/>
        <w:jc w:val="both"/>
        <w:rPr>
          <w:b/>
          <w:bCs/>
          <w:sz w:val="28"/>
          <w:szCs w:val="28"/>
        </w:rPr>
      </w:pPr>
    </w:p>
    <w:p w14:paraId="248EA43E" w14:textId="77777777" w:rsidR="006F2065" w:rsidRDefault="006F2065" w:rsidP="00351EB0">
      <w:pPr>
        <w:pStyle w:val="Listeafsnit"/>
        <w:spacing w:line="276" w:lineRule="auto"/>
        <w:jc w:val="both"/>
        <w:rPr>
          <w:b/>
          <w:bCs/>
          <w:sz w:val="28"/>
          <w:szCs w:val="28"/>
        </w:rPr>
      </w:pPr>
    </w:p>
    <w:p w14:paraId="39CE57A9" w14:textId="5586844F" w:rsidR="002655B3" w:rsidRDefault="00803C3C" w:rsidP="00351EB0">
      <w:pPr>
        <w:pStyle w:val="Listeafsnit"/>
        <w:spacing w:line="276" w:lineRule="auto"/>
        <w:jc w:val="right"/>
      </w:pPr>
      <w:r>
        <w:t>Juli 2021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C6165" w:rsidRPr="00116CF3" w14:paraId="16FC7987" w14:textId="77777777" w:rsidTr="001C616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47" w:type="dxa"/>
          </w:tcPr>
          <w:p w14:paraId="71F24482" w14:textId="77777777" w:rsidR="00803C3C" w:rsidRDefault="00803C3C" w:rsidP="00351E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8B3F3FA" w14:textId="77777777" w:rsidR="00803C3C" w:rsidRDefault="00803C3C" w:rsidP="00351E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044D6E7" w14:textId="77777777" w:rsidR="006F2065" w:rsidRDefault="00F01813" w:rsidP="00351E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2065">
              <w:rPr>
                <w:rFonts w:ascii="Times New Roman" w:hAnsi="Times New Roman" w:cs="Times New Roman"/>
              </w:rPr>
              <w:t xml:space="preserve">Centerchef </w:t>
            </w:r>
            <w:r w:rsidR="006F2065" w:rsidRPr="006F2065">
              <w:rPr>
                <w:rFonts w:ascii="Times New Roman" w:hAnsi="Times New Roman" w:cs="Times New Roman"/>
              </w:rPr>
              <w:t>Dorethe Ungstrup</w:t>
            </w:r>
          </w:p>
          <w:p w14:paraId="38063BC1" w14:textId="0F3F9453" w:rsidR="006F2065" w:rsidRDefault="006F2065" w:rsidP="00351EB0">
            <w:pPr>
              <w:pStyle w:val="Default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6F2065">
              <w:rPr>
                <w:rFonts w:cs="Times New Roman"/>
                <w:b/>
                <w:bCs/>
              </w:rPr>
              <w:t>Center for Teknik og Borgerservice</w:t>
            </w:r>
          </w:p>
          <w:p w14:paraId="1529F7AA" w14:textId="349AF1C1" w:rsidR="006F2065" w:rsidRDefault="006F2065" w:rsidP="00351EB0">
            <w:pPr>
              <w:pStyle w:val="Default"/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Gribskov Kommune</w:t>
            </w:r>
          </w:p>
          <w:p w14:paraId="3EC22962" w14:textId="77777777" w:rsidR="006F2065" w:rsidRDefault="006F2065" w:rsidP="00351EB0">
            <w:pPr>
              <w:jc w:val="both"/>
            </w:pPr>
            <w:hyperlink r:id="rId5" w:history="1">
              <w:r>
                <w:rPr>
                  <w:rStyle w:val="Hyperlink"/>
                  <w:rFonts w:ascii="Helvetica" w:hAnsi="Helvetica"/>
                  <w:color w:val="105176"/>
                  <w:sz w:val="23"/>
                  <w:szCs w:val="23"/>
                </w:rPr>
                <w:t>gribskov@gribskov.dk</w:t>
              </w:r>
            </w:hyperlink>
          </w:p>
          <w:p w14:paraId="37393761" w14:textId="77777777" w:rsidR="006F2065" w:rsidRPr="006F2065" w:rsidRDefault="006F2065" w:rsidP="00351E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8897011" w14:textId="7013D5D3" w:rsidR="006F2065" w:rsidRPr="006F2065" w:rsidRDefault="006F2065" w:rsidP="00351E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59849EA" w14:textId="447546D7" w:rsidR="009D740D" w:rsidRPr="00F01813" w:rsidRDefault="009D740D" w:rsidP="00351E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54EFA1" w14:textId="77777777" w:rsidR="002B2098" w:rsidRDefault="002B2098" w:rsidP="00351EB0">
            <w:pPr>
              <w:pStyle w:val="Default"/>
              <w:spacing w:line="276" w:lineRule="auto"/>
              <w:ind w:left="786"/>
              <w:jc w:val="both"/>
              <w:rPr>
                <w:rFonts w:ascii="Times New Roman" w:hAnsi="Times New Roman" w:cs="Times New Roman"/>
              </w:rPr>
            </w:pPr>
          </w:p>
          <w:p w14:paraId="452602B5" w14:textId="604B1309" w:rsidR="009D740D" w:rsidRPr="00E20FF4" w:rsidRDefault="00E20FF4" w:rsidP="00351EB0">
            <w:pPr>
              <w:pStyle w:val="Default"/>
              <w:spacing w:line="276" w:lineRule="auto"/>
              <w:ind w:left="7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 henblik på at undgå misforståelser i forbindelse med renovering af vejene i Grundejerforeningen </w:t>
            </w:r>
            <w:proofErr w:type="spellStart"/>
            <w:r>
              <w:rPr>
                <w:rFonts w:ascii="Times New Roman" w:hAnsi="Times New Roman" w:cs="Times New Roman"/>
              </w:rPr>
              <w:t>Dyrekærgård</w:t>
            </w:r>
            <w:proofErr w:type="spellEnd"/>
            <w:r w:rsidR="00FF2D8A">
              <w:rPr>
                <w:rFonts w:ascii="Times New Roman" w:hAnsi="Times New Roman" w:cs="Times New Roman"/>
              </w:rPr>
              <w:t xml:space="preserve"> og ansøgning om udbygning af eksisterende trafiksikring</w:t>
            </w:r>
            <w:r w:rsidR="000A1E1E">
              <w:rPr>
                <w:rFonts w:ascii="Times New Roman" w:hAnsi="Times New Roman" w:cs="Times New Roman"/>
              </w:rPr>
              <w:t xml:space="preserve"> skal jeg herved på Grundejerforeningens vegne</w:t>
            </w:r>
            <w:r w:rsidR="008E48E4">
              <w:rPr>
                <w:rFonts w:ascii="Times New Roman" w:hAnsi="Times New Roman" w:cs="Times New Roman"/>
              </w:rPr>
              <w:t xml:space="preserve"> stille følgende opklarende spørgsmål. Forinden gennemgås den meddelte tilladelse og den fremsendte ansøgning.</w:t>
            </w:r>
          </w:p>
          <w:p w14:paraId="3E91EFAB" w14:textId="77777777" w:rsidR="009D740D" w:rsidRPr="009D740D" w:rsidRDefault="009D740D" w:rsidP="00351EB0">
            <w:pPr>
              <w:pStyle w:val="Default"/>
              <w:spacing w:line="276" w:lineRule="auto"/>
              <w:ind w:left="786"/>
              <w:jc w:val="both"/>
            </w:pPr>
          </w:p>
          <w:p w14:paraId="5DB344D4" w14:textId="77777777" w:rsidR="009D740D" w:rsidRPr="009D740D" w:rsidRDefault="009D740D" w:rsidP="00351EB0">
            <w:pPr>
              <w:pStyle w:val="Default"/>
              <w:spacing w:line="276" w:lineRule="auto"/>
              <w:ind w:left="786"/>
              <w:jc w:val="both"/>
            </w:pPr>
          </w:p>
          <w:p w14:paraId="53E88967" w14:textId="7FA4508E" w:rsidR="001C6165" w:rsidRDefault="006B5B4E" w:rsidP="00351EB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Ved skrivelse</w:t>
            </w:r>
            <w:r w:rsidR="00A041DD">
              <w:rPr>
                <w:rFonts w:ascii="Times New Roman" w:hAnsi="Times New Roman" w:cs="Times New Roman"/>
              </w:rPr>
              <w:t xml:space="preserve"> af </w:t>
            </w:r>
            <w:r w:rsidR="00116CF3">
              <w:rPr>
                <w:rFonts w:ascii="Times New Roman" w:hAnsi="Times New Roman" w:cs="Times New Roman"/>
              </w:rPr>
              <w:t xml:space="preserve">23. juni </w:t>
            </w:r>
            <w:r w:rsidR="00D03E63" w:rsidRPr="00625E24">
              <w:rPr>
                <w:rFonts w:ascii="Times New Roman" w:hAnsi="Times New Roman" w:cs="Times New Roman"/>
              </w:rPr>
              <w:t>2021</w:t>
            </w:r>
            <w:r w:rsidR="00116CF3" w:rsidRPr="00625E24">
              <w:rPr>
                <w:rFonts w:ascii="Times New Roman" w:hAnsi="Times New Roman" w:cs="Times New Roman"/>
              </w:rPr>
              <w:t xml:space="preserve"> (</w:t>
            </w:r>
            <w:r w:rsidR="00116CF3" w:rsidRPr="00116CF3">
              <w:rPr>
                <w:rFonts w:ascii="Times New Roman" w:hAnsi="Times New Roman" w:cs="Times New Roman"/>
              </w:rPr>
              <w:t>Sag: 05.02.03-</w:t>
            </w:r>
            <w:r w:rsidR="00A31540" w:rsidRPr="00625E24">
              <w:rPr>
                <w:rFonts w:ascii="Times New Roman" w:hAnsi="Times New Roman" w:cs="Times New Roman"/>
              </w:rPr>
              <w:t>P</w:t>
            </w:r>
            <w:r w:rsidR="00D03E63" w:rsidRPr="00625E24">
              <w:rPr>
                <w:rFonts w:ascii="Times New Roman" w:hAnsi="Times New Roman" w:cs="Times New Roman"/>
              </w:rPr>
              <w:t>1</w:t>
            </w:r>
            <w:r w:rsidR="00116CF3" w:rsidRPr="00116CF3">
              <w:rPr>
                <w:rFonts w:ascii="Times New Roman" w:hAnsi="Times New Roman" w:cs="Times New Roman"/>
              </w:rPr>
              <w:t>9-4-19</w:t>
            </w:r>
            <w:r w:rsidR="00A31540" w:rsidRPr="00625E24">
              <w:rPr>
                <w:rFonts w:ascii="Times New Roman" w:hAnsi="Times New Roman" w:cs="Times New Roman"/>
              </w:rPr>
              <w:t>)</w:t>
            </w:r>
            <w:r w:rsidR="00116CF3" w:rsidRPr="00116CF3">
              <w:rPr>
                <w:rFonts w:ascii="Times New Roman" w:hAnsi="Times New Roman" w:cs="Times New Roman"/>
              </w:rPr>
              <w:t xml:space="preserve"> </w:t>
            </w:r>
            <w:r w:rsidR="00ED61B1">
              <w:rPr>
                <w:rFonts w:ascii="Times New Roman" w:hAnsi="Times New Roman" w:cs="Times New Roman"/>
              </w:rPr>
              <w:t>godkendte Gribskov Kommune følgende:</w:t>
            </w:r>
            <w:r w:rsidR="001C6165" w:rsidRPr="00625E24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5"/>
            </w:tblGrid>
            <w:tr w:rsidR="001C6165" w14:paraId="70BA3F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2"/>
              </w:trPr>
              <w:tc>
                <w:tcPr>
                  <w:tcW w:w="2975" w:type="dxa"/>
                </w:tcPr>
                <w:p w14:paraId="1AEC27A9" w14:textId="1C3FB208" w:rsidR="001C6165" w:rsidRDefault="001C6165" w:rsidP="00351EB0">
                  <w:pPr>
                    <w:pStyle w:val="Default"/>
                    <w:spacing w:line="276" w:lineRule="auto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FE3F35F" w14:textId="342EB1A1" w:rsidR="00116CF3" w:rsidRPr="00116CF3" w:rsidRDefault="00116CF3" w:rsidP="00351EB0">
            <w:pPr>
              <w:autoSpaceDE w:val="0"/>
              <w:autoSpaceDN w:val="0"/>
              <w:adjustRightInd w:val="0"/>
              <w:spacing w:line="276" w:lineRule="auto"/>
              <w:ind w:right="-6877"/>
              <w:jc w:val="both"/>
              <w:rPr>
                <w:rFonts w:ascii="Verdana" w:hAnsi="Verdana" w:cs="Verdana"/>
                <w:color w:val="000000"/>
                <w:sz w:val="23"/>
                <w:szCs w:val="23"/>
              </w:rPr>
            </w:pPr>
          </w:p>
        </w:tc>
      </w:tr>
    </w:tbl>
    <w:p w14:paraId="42F3620D" w14:textId="7CE4EAF8" w:rsidR="00A1470E" w:rsidRPr="002D68B3" w:rsidRDefault="00A1470E" w:rsidP="00351EB0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D68B3">
        <w:rPr>
          <w:rFonts w:ascii="Times New Roman" w:hAnsi="Times New Roman" w:cs="Times New Roman"/>
          <w:b/>
          <w:bCs/>
          <w:sz w:val="20"/>
          <w:szCs w:val="20"/>
        </w:rPr>
        <w:t xml:space="preserve">Godkendelse af udbygning af eksisterende trafiksikring </w:t>
      </w:r>
    </w:p>
    <w:p w14:paraId="0E056D9C" w14:textId="444ABFFE" w:rsidR="00A1470E" w:rsidRPr="002D68B3" w:rsidRDefault="00A1470E" w:rsidP="00351EB0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D68B3">
        <w:rPr>
          <w:rFonts w:ascii="Times New Roman" w:hAnsi="Times New Roman" w:cs="Times New Roman"/>
          <w:sz w:val="20"/>
          <w:szCs w:val="20"/>
        </w:rPr>
        <w:t xml:space="preserve">Med henvisning til ansøgning fremsendt d. 19. marts 2021 og med henvisning til tidligere tilladelse til trafiksanering af foreningens veje </w:t>
      </w:r>
    </w:p>
    <w:p w14:paraId="014AA7D5" w14:textId="77777777" w:rsidR="00A1470E" w:rsidRPr="002D68B3" w:rsidRDefault="00A1470E" w:rsidP="00351EB0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D68B3">
        <w:rPr>
          <w:rFonts w:ascii="Times New Roman" w:hAnsi="Times New Roman" w:cs="Times New Roman"/>
          <w:sz w:val="20"/>
          <w:szCs w:val="20"/>
        </w:rPr>
        <w:t xml:space="preserve">Ved politiets journal nr. 0900-50160-00002-18, og kommunens sagsnummer. 05.02.03-P19-4-19, gives herved tilladelse til udbygning af trafiksaneringen på foreningens veje. Udbygningen omfatter etablering af 2-1 afmærkning, vejbump og skiltning med A43,1 Indsnævret vej, A36 Bump og B11 Ubetinget vigepligt. </w:t>
      </w:r>
    </w:p>
    <w:p w14:paraId="281545A9" w14:textId="77777777" w:rsidR="00A1470E" w:rsidRPr="002D68B3" w:rsidRDefault="00A1470E" w:rsidP="00351EB0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D68B3">
        <w:rPr>
          <w:rFonts w:ascii="Times New Roman" w:hAnsi="Times New Roman" w:cs="Times New Roman"/>
          <w:sz w:val="20"/>
          <w:szCs w:val="20"/>
        </w:rPr>
        <w:t xml:space="preserve">Tilladelsen gives som en offentligretlig tilladelse jf. privatvejlovens § 57, </w:t>
      </w:r>
    </w:p>
    <w:p w14:paraId="531E2F79" w14:textId="77777777" w:rsidR="00A1470E" w:rsidRPr="002D68B3" w:rsidRDefault="00A1470E" w:rsidP="00351EB0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D68B3">
        <w:rPr>
          <w:rFonts w:ascii="Times New Roman" w:hAnsi="Times New Roman" w:cs="Times New Roman"/>
          <w:sz w:val="20"/>
          <w:szCs w:val="20"/>
        </w:rPr>
        <w:t xml:space="preserve">hvilket betyder at vejmyndigheden og politiet, ikke vil modsætte sig foreningens ønske anlæg af færdselsregulerende foranstaltninger jf. fremsendte vejprojekt. </w:t>
      </w:r>
    </w:p>
    <w:p w14:paraId="48101A72" w14:textId="77777777" w:rsidR="00A1470E" w:rsidRPr="002D68B3" w:rsidRDefault="00A1470E" w:rsidP="00351EB0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D68B3">
        <w:rPr>
          <w:rFonts w:ascii="Times New Roman" w:hAnsi="Times New Roman" w:cs="Times New Roman"/>
          <w:sz w:val="20"/>
          <w:szCs w:val="20"/>
        </w:rPr>
        <w:t xml:space="preserve">Politiets journal nr. 0900-50160-00236-21. </w:t>
      </w:r>
    </w:p>
    <w:p w14:paraId="23867401" w14:textId="3FAA0327" w:rsidR="0017153C" w:rsidRDefault="00A1470E" w:rsidP="00351EB0">
      <w:pPr>
        <w:pStyle w:val="Default"/>
        <w:spacing w:line="276" w:lineRule="auto"/>
        <w:ind w:left="993"/>
        <w:jc w:val="both"/>
        <w:rPr>
          <w:rFonts w:cs="Times New Roman"/>
          <w:sz w:val="20"/>
          <w:szCs w:val="20"/>
        </w:rPr>
      </w:pPr>
      <w:r w:rsidRPr="002D68B3">
        <w:rPr>
          <w:rFonts w:ascii="Times New Roman" w:hAnsi="Times New Roman" w:cs="Times New Roman"/>
          <w:sz w:val="20"/>
          <w:szCs w:val="20"/>
        </w:rPr>
        <w:t>Tilladelsen giver ingen rettigheder i forhold til vejejeren eller de vejberettigede grundejere.</w:t>
      </w:r>
    </w:p>
    <w:p w14:paraId="71F78C02" w14:textId="77777777" w:rsidR="009372BF" w:rsidRPr="002D68B3" w:rsidRDefault="009372BF" w:rsidP="00351EB0">
      <w:pPr>
        <w:pStyle w:val="Listeafsnit"/>
        <w:spacing w:line="276" w:lineRule="auto"/>
        <w:ind w:left="993"/>
        <w:jc w:val="both"/>
        <w:rPr>
          <w:rFonts w:cs="Times New Roman"/>
          <w:sz w:val="20"/>
          <w:szCs w:val="20"/>
        </w:rPr>
      </w:pPr>
    </w:p>
    <w:p w14:paraId="250117AC" w14:textId="41EC09A9" w:rsidR="009C1219" w:rsidRDefault="00EE3EA2" w:rsidP="00351EB0">
      <w:pPr>
        <w:pStyle w:val="Listeafsnit"/>
        <w:numPr>
          <w:ilvl w:val="0"/>
          <w:numId w:val="4"/>
        </w:numPr>
        <w:spacing w:line="276" w:lineRule="auto"/>
        <w:jc w:val="both"/>
      </w:pPr>
      <w:r>
        <w:t>Denne tilladelse blev givet på baggrund af</w:t>
      </w:r>
      <w:r w:rsidR="001A58CD">
        <w:t xml:space="preserve"> den ansøgning, der d</w:t>
      </w:r>
      <w:r w:rsidR="0041794B">
        <w:t xml:space="preserve">en 21. april 2021 </w:t>
      </w:r>
      <w:r w:rsidR="001A58CD">
        <w:t xml:space="preserve">var </w:t>
      </w:r>
      <w:r w:rsidR="00F4082D">
        <w:t>fremsendt</w:t>
      </w:r>
      <w:r w:rsidR="001A58CD">
        <w:t xml:space="preserve"> af</w:t>
      </w:r>
      <w:r w:rsidR="0041794B">
        <w:t xml:space="preserve"> </w:t>
      </w:r>
      <w:r w:rsidR="00F4082D">
        <w:t xml:space="preserve">EKJ på vegne af Grundejerforeningen </w:t>
      </w:r>
      <w:proofErr w:type="spellStart"/>
      <w:r w:rsidR="000A52BD">
        <w:t>Dyrekærgård</w:t>
      </w:r>
      <w:proofErr w:type="spellEnd"/>
      <w:r w:rsidR="00055397">
        <w:t xml:space="preserve">. </w:t>
      </w:r>
      <w:r w:rsidR="000A52BD">
        <w:t xml:space="preserve"> </w:t>
      </w:r>
      <w:r w:rsidR="00055397">
        <w:t>A</w:t>
      </w:r>
      <w:r w:rsidR="000A52BD">
        <w:t>nsøgning</w:t>
      </w:r>
      <w:r w:rsidR="00055397">
        <w:t>en vedrørte en</w:t>
      </w:r>
      <w:r w:rsidR="00F4082D">
        <w:t xml:space="preserve"> </w:t>
      </w:r>
      <w:r w:rsidR="00204EF8">
        <w:t xml:space="preserve">udbygning af </w:t>
      </w:r>
      <w:r w:rsidR="00055397">
        <w:t xml:space="preserve">den </w:t>
      </w:r>
      <w:r w:rsidR="00204EF8">
        <w:t xml:space="preserve">eksisterende trafiksikring i forbindelse med </w:t>
      </w:r>
      <w:r w:rsidR="00A0788B">
        <w:t xml:space="preserve">renovering </w:t>
      </w:r>
      <w:r w:rsidR="00CC1962">
        <w:t xml:space="preserve">(ny asfaltbelægning) </w:t>
      </w:r>
      <w:r w:rsidR="00A0788B">
        <w:t xml:space="preserve">af vejene i </w:t>
      </w:r>
      <w:proofErr w:type="spellStart"/>
      <w:r w:rsidR="00A0788B">
        <w:t>Dyrekærgårdudstykningen</w:t>
      </w:r>
      <w:proofErr w:type="spellEnd"/>
      <w:r w:rsidR="009C1219">
        <w:t>:</w:t>
      </w:r>
    </w:p>
    <w:p w14:paraId="6AFC21DC" w14:textId="44E51FC8" w:rsidR="005777F9" w:rsidRDefault="00A0788B" w:rsidP="00351EB0">
      <w:pPr>
        <w:pStyle w:val="Listeafsnit"/>
        <w:spacing w:line="276" w:lineRule="auto"/>
        <w:ind w:left="786"/>
        <w:jc w:val="both"/>
      </w:pPr>
      <w:r>
        <w:t xml:space="preserve"> </w:t>
      </w:r>
    </w:p>
    <w:p w14:paraId="302120EA" w14:textId="77777777" w:rsidR="00EE46C7" w:rsidRPr="00EE46C7" w:rsidRDefault="00EE46C7" w:rsidP="00351EB0">
      <w:p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t>Hej rette vedkommende</w:t>
      </w:r>
    </w:p>
    <w:p w14:paraId="01F8878E" w14:textId="77777777" w:rsidR="00EE46C7" w:rsidRPr="00EE46C7" w:rsidRDefault="00EE46C7" w:rsidP="00351EB0">
      <w:p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t xml:space="preserve">På vegne af grundejerforeningen </w:t>
      </w:r>
      <w:proofErr w:type="spellStart"/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t>Dyrekærgård</w:t>
      </w:r>
      <w:proofErr w:type="spellEnd"/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t xml:space="preserve"> fremsender jeg hermed en ansøgning om at få tilladelse til at lave en trafiksanering på de private veje.</w:t>
      </w:r>
    </w:p>
    <w:p w14:paraId="3674FE32" w14:textId="77777777" w:rsidR="00EE46C7" w:rsidRPr="00EE46C7" w:rsidRDefault="00EE46C7" w:rsidP="00351EB0">
      <w:p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lastRenderedPageBreak/>
        <w:t>Det drejer sig om:</w:t>
      </w:r>
    </w:p>
    <w:p w14:paraId="41489311" w14:textId="77777777" w:rsidR="00EE46C7" w:rsidRPr="00EE46C7" w:rsidRDefault="00EE46C7" w:rsidP="00351EB0">
      <w:pPr>
        <w:numPr>
          <w:ilvl w:val="0"/>
          <w:numId w:val="5"/>
        </w:num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t>Etablering af bump</w:t>
      </w:r>
    </w:p>
    <w:p w14:paraId="183EC7EC" w14:textId="77777777" w:rsidR="00EE46C7" w:rsidRPr="00EE46C7" w:rsidRDefault="00EE46C7" w:rsidP="00351EB0">
      <w:pPr>
        <w:numPr>
          <w:ilvl w:val="0"/>
          <w:numId w:val="5"/>
        </w:num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t>Etablering af 2 minus 1 vej</w:t>
      </w:r>
    </w:p>
    <w:p w14:paraId="3B886CEB" w14:textId="77777777" w:rsidR="00EE46C7" w:rsidRPr="00EE46C7" w:rsidRDefault="00EE46C7" w:rsidP="00351EB0">
      <w:pPr>
        <w:numPr>
          <w:ilvl w:val="0"/>
          <w:numId w:val="5"/>
        </w:num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t>Ændring af vigepligtsforhold vha. hajtænder</w:t>
      </w:r>
    </w:p>
    <w:p w14:paraId="05E5A006" w14:textId="05537775" w:rsidR="00B1711C" w:rsidRPr="00B1711C" w:rsidRDefault="00EE46C7" w:rsidP="00351EB0">
      <w:p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r w:rsidRPr="00EE46C7">
        <w:rPr>
          <w:rFonts w:eastAsia="Times New Roman" w:cs="Times New Roman"/>
          <w:color w:val="000000"/>
          <w:sz w:val="20"/>
          <w:szCs w:val="20"/>
          <w:lang w:eastAsia="da-DK"/>
        </w:rPr>
        <w:t xml:space="preserve">Tegninger og notat er </w:t>
      </w:r>
      <w:r w:rsidR="00B1711C" w:rsidRPr="00B1711C">
        <w:rPr>
          <w:rFonts w:eastAsia="Times New Roman" w:cs="Times New Roman"/>
          <w:color w:val="000000"/>
          <w:sz w:val="20"/>
          <w:szCs w:val="20"/>
          <w:lang w:eastAsia="da-DK"/>
        </w:rPr>
        <w:t>er vedhæftet denne mail. </w:t>
      </w:r>
    </w:p>
    <w:p w14:paraId="5538CB56" w14:textId="77777777" w:rsidR="00B1711C" w:rsidRPr="00B1711C" w:rsidRDefault="00B1711C" w:rsidP="00351EB0">
      <w:p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r w:rsidRPr="00B1711C">
        <w:rPr>
          <w:rFonts w:eastAsia="Times New Roman" w:cs="Times New Roman"/>
          <w:color w:val="000000"/>
          <w:sz w:val="20"/>
          <w:szCs w:val="20"/>
          <w:lang w:eastAsia="da-DK"/>
        </w:rPr>
        <w:t>Ser frem til at høre fra jer. </w:t>
      </w:r>
    </w:p>
    <w:p w14:paraId="7EDD952E" w14:textId="77777777" w:rsidR="00B1711C" w:rsidRPr="00B1711C" w:rsidRDefault="00B1711C" w:rsidP="00351EB0">
      <w:p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  <w:proofErr w:type="spellStart"/>
      <w:r w:rsidRPr="00B1711C">
        <w:rPr>
          <w:rFonts w:eastAsia="Times New Roman" w:cs="Times New Roman"/>
          <w:color w:val="000000"/>
          <w:sz w:val="20"/>
          <w:szCs w:val="20"/>
          <w:lang w:eastAsia="da-DK"/>
        </w:rPr>
        <w:t>Mvh</w:t>
      </w:r>
      <w:proofErr w:type="spellEnd"/>
      <w:r w:rsidRPr="00B1711C">
        <w:rPr>
          <w:rFonts w:eastAsia="Times New Roman" w:cs="Times New Roman"/>
          <w:color w:val="000000"/>
          <w:sz w:val="20"/>
          <w:szCs w:val="20"/>
          <w:lang w:eastAsia="da-DK"/>
        </w:rPr>
        <w:t xml:space="preserve"> Natalia</w:t>
      </w:r>
    </w:p>
    <w:p w14:paraId="7BC75872" w14:textId="15B0F7FB" w:rsidR="00EE46C7" w:rsidRPr="00EE46C7" w:rsidRDefault="00EE46C7" w:rsidP="00351EB0">
      <w:pPr>
        <w:spacing w:line="276" w:lineRule="auto"/>
        <w:ind w:left="1134"/>
        <w:jc w:val="both"/>
        <w:rPr>
          <w:rFonts w:eastAsia="Times New Roman" w:cs="Times New Roman"/>
          <w:color w:val="000000"/>
          <w:sz w:val="20"/>
          <w:szCs w:val="20"/>
          <w:lang w:eastAsia="da-DK"/>
        </w:rPr>
      </w:pPr>
    </w:p>
    <w:p w14:paraId="4E352113" w14:textId="77777777" w:rsidR="00EE46C7" w:rsidRDefault="00EE46C7" w:rsidP="00351EB0">
      <w:pPr>
        <w:pStyle w:val="Listeafsnit"/>
        <w:spacing w:line="276" w:lineRule="auto"/>
        <w:ind w:left="786"/>
        <w:jc w:val="both"/>
      </w:pPr>
    </w:p>
    <w:p w14:paraId="1DE5D8F4" w14:textId="6370FFA9" w:rsidR="001C5C76" w:rsidRDefault="00A0788B" w:rsidP="00351EB0">
      <w:pPr>
        <w:pStyle w:val="Listeafsnit"/>
        <w:spacing w:line="276" w:lineRule="auto"/>
        <w:ind w:left="786"/>
        <w:jc w:val="both"/>
      </w:pPr>
      <w:r>
        <w:t xml:space="preserve">Der henvises </w:t>
      </w:r>
      <w:r w:rsidR="004F5D74">
        <w:t>i øvrigt t</w:t>
      </w:r>
      <w:r>
        <w:t>il den fremsendte ansøgning</w:t>
      </w:r>
      <w:r w:rsidR="000A52BD">
        <w:t xml:space="preserve"> – </w:t>
      </w:r>
      <w:proofErr w:type="spellStart"/>
      <w:r w:rsidR="000A52BD">
        <w:t>vedlagt.</w:t>
      </w:r>
    </w:p>
    <w:p w14:paraId="3278C9D0" w14:textId="77777777" w:rsidR="00CB10FD" w:rsidRDefault="00CB10FD" w:rsidP="00351EB0">
      <w:pPr>
        <w:pStyle w:val="Listeafsnit"/>
        <w:spacing w:line="276" w:lineRule="auto"/>
        <w:jc w:val="both"/>
      </w:pPr>
    </w:p>
    <w:p w14:paraId="5CAD5E2C" w14:textId="21A4EE41" w:rsidR="001C5C76" w:rsidRDefault="00B42A1F" w:rsidP="00351EB0">
      <w:pPr>
        <w:pStyle w:val="Listeafsnit"/>
        <w:numPr>
          <w:ilvl w:val="0"/>
          <w:numId w:val="4"/>
        </w:numPr>
        <w:spacing w:line="276" w:lineRule="auto"/>
        <w:jc w:val="both"/>
      </w:pPr>
      <w:proofErr w:type="spellEnd"/>
      <w:r>
        <w:t>D</w:t>
      </w:r>
      <w:r w:rsidR="001C5C76">
        <w:t xml:space="preserve">e enkelte elementer skal </w:t>
      </w:r>
      <w:r w:rsidR="004E0B75">
        <w:t xml:space="preserve">nu </w:t>
      </w:r>
      <w:r w:rsidR="001C5C76">
        <w:t>forelægges generalforsamlingen</w:t>
      </w:r>
      <w:r>
        <w:t xml:space="preserve"> til godkendelse</w:t>
      </w:r>
      <w:r w:rsidR="001C5C76">
        <w:t>. Kan generalforsamlingen vedtage enkelte af elementerne og undlade andre?</w:t>
      </w:r>
      <w:r w:rsidR="004B18F8">
        <w:t xml:space="preserve"> – eller skal tilladelsen forstås som et samlet hele.</w:t>
      </w:r>
    </w:p>
    <w:p w14:paraId="5F344173" w14:textId="77777777" w:rsidR="00912AD8" w:rsidRDefault="00912AD8" w:rsidP="00351EB0">
      <w:pPr>
        <w:pStyle w:val="Listeafsnit"/>
        <w:spacing w:line="276" w:lineRule="auto"/>
        <w:ind w:left="786"/>
        <w:jc w:val="both"/>
      </w:pPr>
    </w:p>
    <w:p w14:paraId="4BDB771B" w14:textId="61B7B1FE" w:rsidR="001C5C76" w:rsidRDefault="001C5C76" w:rsidP="00351EB0">
      <w:pPr>
        <w:pStyle w:val="Listeafsnit"/>
        <w:numPr>
          <w:ilvl w:val="0"/>
          <w:numId w:val="4"/>
        </w:numPr>
        <w:spacing w:line="276" w:lineRule="auto"/>
        <w:jc w:val="both"/>
      </w:pPr>
      <w:r>
        <w:t>De enkelte elementer.</w:t>
      </w:r>
    </w:p>
    <w:p w14:paraId="1C68C865" w14:textId="23E97D65" w:rsidR="001C5C76" w:rsidRDefault="001C5C76" w:rsidP="00351EB0">
      <w:pPr>
        <w:pStyle w:val="Listeafsnit"/>
        <w:numPr>
          <w:ilvl w:val="0"/>
          <w:numId w:val="2"/>
        </w:numPr>
        <w:spacing w:line="276" w:lineRule="auto"/>
        <w:jc w:val="both"/>
      </w:pPr>
      <w:r>
        <w:t>Hajtænder.</w:t>
      </w:r>
    </w:p>
    <w:p w14:paraId="4F7C5499" w14:textId="6CA0B259" w:rsidR="001C5C76" w:rsidRDefault="001C5C76" w:rsidP="00351EB0">
      <w:pPr>
        <w:pStyle w:val="Listeafsnit"/>
        <w:spacing w:line="276" w:lineRule="auto"/>
        <w:ind w:left="1080"/>
        <w:jc w:val="both"/>
      </w:pPr>
      <w:r>
        <w:t>I den rapport Grundejerforeningen har fået udarbejdet i forbindelse med planlægning af arbejdet</w:t>
      </w:r>
      <w:r w:rsidR="00351EB0">
        <w:t>,</w:t>
      </w:r>
      <w:r>
        <w:t xml:space="preserve"> har den rådgivende ingeniør formuleret problemet på følgende måde:</w:t>
      </w:r>
    </w:p>
    <w:p w14:paraId="4590D95A" w14:textId="77777777" w:rsidR="001C5C76" w:rsidRDefault="001C5C76" w:rsidP="00351EB0">
      <w:pPr>
        <w:pStyle w:val="Listeafsnit"/>
        <w:spacing w:line="276" w:lineRule="auto"/>
        <w:ind w:left="1080"/>
        <w:jc w:val="both"/>
      </w:pPr>
    </w:p>
    <w:p w14:paraId="44836894" w14:textId="77777777" w:rsidR="001C5C76" w:rsidRPr="001C5C76" w:rsidRDefault="001C5C76" w:rsidP="00351EB0">
      <w:pPr>
        <w:pStyle w:val="Overskrift2"/>
        <w:spacing w:after="151" w:line="276" w:lineRule="auto"/>
        <w:ind w:left="1418" w:hanging="57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Toc11480"/>
      <w:r w:rsidRPr="001C5C76">
        <w:rPr>
          <w:rFonts w:ascii="Times New Roman" w:hAnsi="Times New Roman" w:cs="Times New Roman"/>
          <w:sz w:val="20"/>
          <w:szCs w:val="20"/>
        </w:rPr>
        <w:t>Vigepligtsforhold</w:t>
      </w:r>
      <w:bookmarkEnd w:id="0"/>
    </w:p>
    <w:p w14:paraId="004FC0A0" w14:textId="77777777" w:rsidR="001C5C76" w:rsidRPr="001C5C76" w:rsidRDefault="001C5C76" w:rsidP="00351EB0">
      <w:pPr>
        <w:pStyle w:val="Overskrift3"/>
        <w:spacing w:line="276" w:lineRule="auto"/>
        <w:ind w:left="1418" w:right="57" w:hanging="7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Toc11481"/>
      <w:r w:rsidRPr="001C5C76">
        <w:rPr>
          <w:rFonts w:ascii="Times New Roman" w:hAnsi="Times New Roman" w:cs="Times New Roman"/>
          <w:sz w:val="20"/>
          <w:szCs w:val="20"/>
        </w:rPr>
        <w:t>Eksisterende</w:t>
      </w:r>
      <w:bookmarkEnd w:id="1"/>
    </w:p>
    <w:p w14:paraId="0E9D58D9" w14:textId="60EF2AC9" w:rsidR="001C5C76" w:rsidRDefault="001C5C76" w:rsidP="00351EB0">
      <w:pPr>
        <w:spacing w:line="276" w:lineRule="auto"/>
        <w:ind w:left="1418"/>
        <w:jc w:val="both"/>
        <w:rPr>
          <w:rFonts w:cs="Times New Roman"/>
          <w:sz w:val="20"/>
          <w:szCs w:val="20"/>
        </w:rPr>
      </w:pPr>
      <w:r w:rsidRPr="001C5C76">
        <w:rPr>
          <w:rFonts w:cs="Times New Roman"/>
          <w:sz w:val="20"/>
          <w:szCs w:val="20"/>
        </w:rPr>
        <w:t xml:space="preserve">Rivedalen fungerer i dag som den primære vej gennem grundejerforeningen med tilsluttende sideveje. Sidevejene tilsluttes i forskellige krydsudformninger som fx T-kryds og F-kryds. På de eksisterende forhold er der ingen afmærkning, hvilket betyder at der i hele området er </w:t>
      </w:r>
      <w:proofErr w:type="spellStart"/>
      <w:r w:rsidRPr="001C5C76">
        <w:rPr>
          <w:rFonts w:cs="Times New Roman"/>
          <w:sz w:val="20"/>
          <w:szCs w:val="20"/>
        </w:rPr>
        <w:t>højrevigepligt</w:t>
      </w:r>
      <w:proofErr w:type="spellEnd"/>
      <w:r w:rsidRPr="001C5C76">
        <w:rPr>
          <w:rFonts w:cs="Times New Roman"/>
          <w:sz w:val="20"/>
          <w:szCs w:val="20"/>
        </w:rPr>
        <w:t xml:space="preserve">. </w:t>
      </w:r>
    </w:p>
    <w:p w14:paraId="524939BC" w14:textId="77777777" w:rsidR="001C5C76" w:rsidRPr="001C5C76" w:rsidRDefault="001C5C76" w:rsidP="00351EB0">
      <w:pPr>
        <w:spacing w:line="276" w:lineRule="auto"/>
        <w:ind w:left="1418"/>
        <w:jc w:val="both"/>
        <w:rPr>
          <w:rFonts w:cs="Times New Roman"/>
          <w:sz w:val="20"/>
          <w:szCs w:val="20"/>
        </w:rPr>
      </w:pPr>
    </w:p>
    <w:p w14:paraId="45664271" w14:textId="77777777" w:rsidR="001C5C76" w:rsidRDefault="001C5C76" w:rsidP="00351EB0">
      <w:pPr>
        <w:spacing w:after="268" w:line="276" w:lineRule="auto"/>
        <w:ind w:left="1418"/>
        <w:jc w:val="center"/>
      </w:pPr>
      <w:r>
        <w:rPr>
          <w:noProof/>
        </w:rPr>
        <w:drawing>
          <wp:inline distT="0" distB="0" distL="0" distR="0" wp14:anchorId="281CFF3A" wp14:editId="7B782943">
            <wp:extent cx="2031365" cy="3723640"/>
            <wp:effectExtent l="0" t="0" r="0" b="0"/>
            <wp:docPr id="2091" name="Picture 2091" descr="Et billede, der indeholder træ, udendørs, plante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" name="Picture 2091" descr="Et billede, der indeholder træ, udendørs, plant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03136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FC770" w14:textId="77777777" w:rsidR="001C5C76" w:rsidRPr="001C5C76" w:rsidRDefault="001C5C76" w:rsidP="00351EB0">
      <w:pPr>
        <w:spacing w:after="224" w:line="276" w:lineRule="auto"/>
        <w:ind w:left="1418"/>
        <w:jc w:val="both"/>
        <w:rPr>
          <w:rFonts w:cs="Times New Roman"/>
          <w:sz w:val="20"/>
          <w:szCs w:val="20"/>
        </w:rPr>
      </w:pPr>
      <w:proofErr w:type="spellStart"/>
      <w:r w:rsidRPr="001C5C76">
        <w:rPr>
          <w:rFonts w:cs="Times New Roman"/>
          <w:sz w:val="20"/>
          <w:szCs w:val="20"/>
        </w:rPr>
        <w:t>Højrevigepligt</w:t>
      </w:r>
      <w:proofErr w:type="spellEnd"/>
      <w:r w:rsidRPr="001C5C76">
        <w:rPr>
          <w:rFonts w:cs="Times New Roman"/>
          <w:sz w:val="20"/>
          <w:szCs w:val="20"/>
        </w:rPr>
        <w:t xml:space="preserve"> giver udfordringer som fx ses på ovenstående billede. Her skal kørende holde tilbage for evt. trafikanter der måtte komme fra den højre sidevej. Det opleves i området at folk ikke overholder den </w:t>
      </w:r>
      <w:proofErr w:type="spellStart"/>
      <w:r w:rsidRPr="001C5C76">
        <w:rPr>
          <w:rFonts w:cs="Times New Roman"/>
          <w:sz w:val="20"/>
          <w:szCs w:val="20"/>
        </w:rPr>
        <w:t>højrevigepligt</w:t>
      </w:r>
      <w:proofErr w:type="spellEnd"/>
      <w:r w:rsidRPr="001C5C76">
        <w:rPr>
          <w:rFonts w:cs="Times New Roman"/>
          <w:sz w:val="20"/>
          <w:szCs w:val="20"/>
        </w:rPr>
        <w:t xml:space="preserve">. </w:t>
      </w:r>
    </w:p>
    <w:p w14:paraId="1B6316AA" w14:textId="77777777" w:rsidR="001C5C76" w:rsidRPr="001C5C76" w:rsidRDefault="001C5C76" w:rsidP="00351EB0">
      <w:pPr>
        <w:pStyle w:val="Overskrift3"/>
        <w:spacing w:line="276" w:lineRule="auto"/>
        <w:ind w:left="1418" w:right="57" w:hanging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Toc11482"/>
      <w:r w:rsidRPr="001C5C76">
        <w:rPr>
          <w:rFonts w:ascii="Times New Roman" w:hAnsi="Times New Roman" w:cs="Times New Roman"/>
          <w:sz w:val="20"/>
          <w:szCs w:val="20"/>
        </w:rPr>
        <w:t>Løsninger</w:t>
      </w:r>
      <w:bookmarkEnd w:id="2"/>
    </w:p>
    <w:p w14:paraId="43693EB7" w14:textId="77777777" w:rsidR="001C5C76" w:rsidRPr="001C5C76" w:rsidRDefault="001C5C76" w:rsidP="00351EB0">
      <w:pPr>
        <w:spacing w:line="276" w:lineRule="auto"/>
        <w:ind w:left="1418"/>
        <w:jc w:val="both"/>
        <w:rPr>
          <w:rFonts w:cs="Times New Roman"/>
          <w:sz w:val="20"/>
          <w:szCs w:val="20"/>
        </w:rPr>
      </w:pPr>
      <w:r w:rsidRPr="001C5C76">
        <w:rPr>
          <w:rFonts w:cs="Times New Roman"/>
          <w:sz w:val="20"/>
          <w:szCs w:val="20"/>
        </w:rPr>
        <w:t xml:space="preserve">Almindelig </w:t>
      </w:r>
      <w:proofErr w:type="spellStart"/>
      <w:r w:rsidRPr="001C5C76">
        <w:rPr>
          <w:rFonts w:cs="Times New Roman"/>
          <w:sz w:val="20"/>
          <w:szCs w:val="20"/>
        </w:rPr>
        <w:t>højrevigepligt</w:t>
      </w:r>
      <w:proofErr w:type="spellEnd"/>
      <w:r w:rsidRPr="001C5C76">
        <w:rPr>
          <w:rFonts w:cs="Times New Roman"/>
          <w:sz w:val="20"/>
          <w:szCs w:val="20"/>
        </w:rPr>
        <w:t xml:space="preserve"> bør generelt ikke benyttes, idet den forvirrer trafikanterne og skaber konflikter, der kan føre til ulykker. Trafikanterne er særligt i tvivl om </w:t>
      </w:r>
      <w:proofErr w:type="spellStart"/>
      <w:r w:rsidRPr="001C5C76">
        <w:rPr>
          <w:rFonts w:cs="Times New Roman"/>
          <w:sz w:val="20"/>
          <w:szCs w:val="20"/>
        </w:rPr>
        <w:t>højrevigepligt</w:t>
      </w:r>
      <w:proofErr w:type="spellEnd"/>
      <w:r w:rsidRPr="001C5C76">
        <w:rPr>
          <w:rFonts w:cs="Times New Roman"/>
          <w:sz w:val="20"/>
          <w:szCs w:val="20"/>
        </w:rPr>
        <w:t xml:space="preserve"> i tilfælde som denne, da </w:t>
      </w:r>
      <w:r w:rsidRPr="001C5C76">
        <w:rPr>
          <w:rFonts w:cs="Times New Roman"/>
          <w:sz w:val="20"/>
          <w:szCs w:val="20"/>
        </w:rPr>
        <w:lastRenderedPageBreak/>
        <w:t xml:space="preserve">Rivedalen syner som en klar primærvej og det derfor ikke er naturligt at vige for trafikanterne kommende fra højre. </w:t>
      </w:r>
    </w:p>
    <w:p w14:paraId="3797CCD8" w14:textId="77777777" w:rsidR="001C5C76" w:rsidRPr="001C5C76" w:rsidRDefault="001C5C76" w:rsidP="00351EB0">
      <w:pPr>
        <w:pStyle w:val="Overskrift3"/>
        <w:spacing w:line="276" w:lineRule="auto"/>
        <w:ind w:left="1418" w:right="57" w:hanging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Toc11483"/>
      <w:r w:rsidRPr="001C5C76">
        <w:rPr>
          <w:rFonts w:ascii="Times New Roman" w:hAnsi="Times New Roman" w:cs="Times New Roman"/>
          <w:sz w:val="20"/>
          <w:szCs w:val="20"/>
        </w:rPr>
        <w:t>Tiltag til forbedringer</w:t>
      </w:r>
      <w:bookmarkEnd w:id="3"/>
    </w:p>
    <w:p w14:paraId="559A568E" w14:textId="77777777" w:rsidR="001C5C76" w:rsidRPr="001C5C76" w:rsidRDefault="001C5C76" w:rsidP="00351EB0">
      <w:pPr>
        <w:spacing w:after="210" w:line="276" w:lineRule="auto"/>
        <w:ind w:left="1418"/>
        <w:jc w:val="both"/>
        <w:rPr>
          <w:rFonts w:cs="Times New Roman"/>
          <w:sz w:val="20"/>
          <w:szCs w:val="20"/>
        </w:rPr>
      </w:pPr>
      <w:r w:rsidRPr="001C5C76">
        <w:rPr>
          <w:rFonts w:cs="Times New Roman"/>
          <w:sz w:val="20"/>
          <w:szCs w:val="20"/>
        </w:rPr>
        <w:t xml:space="preserve">Det anbefales, at der etableres ubetinget vigepligt fra alle sideveje i form af hajtænder. På svagt trafikerede veje, hvilket sidevejene umiddelbart er vurderet til, kan vigelinjen i form af hajtænder anvendes alene. Altså er det ikke nødvendigt med opsætning af vigepligtstavlen. </w:t>
      </w:r>
    </w:p>
    <w:p w14:paraId="1CF7687E" w14:textId="2EDDBD93" w:rsidR="001C5C76" w:rsidRDefault="001C5C76" w:rsidP="00351EB0">
      <w:pPr>
        <w:spacing w:line="276" w:lineRule="auto"/>
        <w:ind w:left="1418"/>
        <w:jc w:val="both"/>
        <w:rPr>
          <w:rFonts w:cs="Times New Roman"/>
          <w:sz w:val="20"/>
          <w:szCs w:val="20"/>
        </w:rPr>
      </w:pPr>
      <w:r w:rsidRPr="001C5C76">
        <w:rPr>
          <w:rFonts w:cs="Times New Roman"/>
          <w:sz w:val="20"/>
          <w:szCs w:val="20"/>
        </w:rPr>
        <w:t xml:space="preserve">Desuden anbefales det at optegne hajtænderne, ved udkørsel til Strandvejen, på ny, da disse er så godt som slidt af. B11 vigepligtstavlen bør bevares. </w:t>
      </w:r>
    </w:p>
    <w:p w14:paraId="0BBE8FA4" w14:textId="77777777" w:rsidR="00351EB0" w:rsidRPr="001C5C76" w:rsidRDefault="00351EB0" w:rsidP="00351EB0">
      <w:pPr>
        <w:spacing w:line="276" w:lineRule="auto"/>
        <w:ind w:left="1418"/>
        <w:jc w:val="both"/>
        <w:rPr>
          <w:rFonts w:cs="Times New Roman"/>
          <w:sz w:val="20"/>
          <w:szCs w:val="20"/>
        </w:rPr>
      </w:pPr>
    </w:p>
    <w:p w14:paraId="5A707A9F" w14:textId="77777777" w:rsidR="001C5C76" w:rsidRDefault="001C5C76" w:rsidP="00351EB0">
      <w:pPr>
        <w:spacing w:after="485" w:line="276" w:lineRule="auto"/>
        <w:ind w:left="1418"/>
        <w:jc w:val="center"/>
      </w:pPr>
      <w:r>
        <w:rPr>
          <w:noProof/>
        </w:rPr>
        <w:drawing>
          <wp:inline distT="0" distB="0" distL="0" distR="0" wp14:anchorId="4BD3DD56" wp14:editId="19DEF899">
            <wp:extent cx="3600450" cy="2700020"/>
            <wp:effectExtent l="0" t="0" r="0" b="0"/>
            <wp:docPr id="2281" name="Picture 2281" descr="Et billede, der indeholder træ, udendørs, vej, jord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Picture 2281" descr="Et billede, der indeholder træ, udendørs, vej, jord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3D0F" w14:textId="3C9F5334" w:rsidR="001C5C76" w:rsidRDefault="001C5C76" w:rsidP="00351EB0">
      <w:pPr>
        <w:pStyle w:val="Listeafsnit"/>
        <w:spacing w:line="276" w:lineRule="auto"/>
        <w:ind w:left="1080"/>
        <w:jc w:val="both"/>
      </w:pPr>
      <w:r>
        <w:t xml:space="preserve">Spørgsmålet er herefter, om det </w:t>
      </w:r>
      <w:r w:rsidR="009B6DA4">
        <w:t xml:space="preserve">på denne baggrund </w:t>
      </w:r>
      <w:r>
        <w:t>er tilrådeligt og i overensstemmelse med hensynet til trafiksikkerheden at undlade at etablere hajtænder, som anbefalet af den rådgivende ingeniør.</w:t>
      </w:r>
    </w:p>
    <w:p w14:paraId="4E1E48DA" w14:textId="77777777" w:rsidR="001C5C76" w:rsidRDefault="001C5C76" w:rsidP="00351EB0">
      <w:pPr>
        <w:pStyle w:val="Listeafsnit"/>
        <w:spacing w:line="276" w:lineRule="auto"/>
        <w:ind w:left="1080"/>
        <w:jc w:val="both"/>
      </w:pPr>
    </w:p>
    <w:p w14:paraId="4412F045" w14:textId="700C3F0E" w:rsidR="001C5C76" w:rsidRDefault="009B6DA4" w:rsidP="00351EB0">
      <w:pPr>
        <w:pStyle w:val="Listeafsnit"/>
        <w:numPr>
          <w:ilvl w:val="0"/>
          <w:numId w:val="2"/>
        </w:numPr>
        <w:spacing w:line="276" w:lineRule="auto"/>
        <w:jc w:val="both"/>
      </w:pPr>
      <w:r>
        <w:t>2-</w:t>
      </w:r>
      <w:r w:rsidR="001C5C76">
        <w:t>minus</w:t>
      </w:r>
      <w:r>
        <w:t>-1</w:t>
      </w:r>
      <w:r w:rsidR="001C5C76">
        <w:t>vej</w:t>
      </w:r>
      <w:r>
        <w:t>.</w:t>
      </w:r>
    </w:p>
    <w:p w14:paraId="064876D8" w14:textId="58F9F9A4" w:rsidR="009B6DA4" w:rsidRDefault="009B6DA4" w:rsidP="00351EB0">
      <w:pPr>
        <w:pStyle w:val="Listeafsnit"/>
        <w:spacing w:line="276" w:lineRule="auto"/>
        <w:ind w:left="1080"/>
        <w:jc w:val="both"/>
      </w:pPr>
      <w:r>
        <w:t>Hvis generalforsamlingen beslutter sig for en yderligere trafiksikring kan man så nøjes med udelukkende at etablere en 2 minus 1 vej.</w:t>
      </w:r>
    </w:p>
    <w:p w14:paraId="017740E6" w14:textId="77777777" w:rsidR="009B6DA4" w:rsidRDefault="009B6DA4" w:rsidP="00351EB0">
      <w:pPr>
        <w:pStyle w:val="Listeafsnit"/>
        <w:spacing w:line="276" w:lineRule="auto"/>
        <w:ind w:left="1080"/>
        <w:jc w:val="both"/>
      </w:pPr>
    </w:p>
    <w:p w14:paraId="5BC8F0C0" w14:textId="6EDC2365" w:rsidR="001C5C76" w:rsidRDefault="001C5C76" w:rsidP="00351EB0">
      <w:pPr>
        <w:pStyle w:val="Listeafsnit"/>
        <w:numPr>
          <w:ilvl w:val="0"/>
          <w:numId w:val="2"/>
        </w:numPr>
        <w:spacing w:line="276" w:lineRule="auto"/>
        <w:jc w:val="both"/>
      </w:pPr>
      <w:r>
        <w:t>Bump</w:t>
      </w:r>
      <w:r w:rsidR="009B6DA4">
        <w:t>.</w:t>
      </w:r>
    </w:p>
    <w:p w14:paraId="6BA4ECE3" w14:textId="399ED9BC" w:rsidR="009B6DA4" w:rsidRDefault="009B6DA4" w:rsidP="00351EB0">
      <w:pPr>
        <w:pStyle w:val="Listeafsnit"/>
        <w:spacing w:line="276" w:lineRule="auto"/>
        <w:ind w:left="1080"/>
        <w:jc w:val="both"/>
      </w:pPr>
      <w:r>
        <w:t xml:space="preserve">Kan man nøjes med udelukkende at etablere de anførte bump og i givet fald, vil der blive stillet krav om belysning af disse nu – eller senere? </w:t>
      </w:r>
    </w:p>
    <w:p w14:paraId="1E13D0A6" w14:textId="7938317D" w:rsidR="00F01813" w:rsidRDefault="00F01813" w:rsidP="00351EB0">
      <w:pPr>
        <w:pStyle w:val="Listeafsnit"/>
        <w:spacing w:line="276" w:lineRule="auto"/>
        <w:ind w:left="1080"/>
        <w:jc w:val="both"/>
      </w:pPr>
    </w:p>
    <w:p w14:paraId="7BCF89A8" w14:textId="63E0FEF8" w:rsidR="00F01813" w:rsidRDefault="00F01813" w:rsidP="00351EB0">
      <w:pPr>
        <w:pStyle w:val="Listeafsnit"/>
        <w:spacing w:line="276" w:lineRule="auto"/>
        <w:ind w:left="1080"/>
        <w:jc w:val="both"/>
      </w:pPr>
    </w:p>
    <w:p w14:paraId="49A2638F" w14:textId="5DC1C135" w:rsidR="00F01813" w:rsidRDefault="00F01813" w:rsidP="00351EB0">
      <w:pPr>
        <w:pStyle w:val="Listeafsnit"/>
        <w:spacing w:line="276" w:lineRule="auto"/>
        <w:ind w:left="1080"/>
        <w:jc w:val="both"/>
      </w:pPr>
      <w:r>
        <w:t>Med venlig hilsen</w:t>
      </w:r>
    </w:p>
    <w:p w14:paraId="6D1DF8A6" w14:textId="116EAA2A" w:rsidR="00F01813" w:rsidRDefault="00F01813" w:rsidP="00351EB0">
      <w:pPr>
        <w:pStyle w:val="Listeafsnit"/>
        <w:spacing w:line="276" w:lineRule="auto"/>
        <w:ind w:left="1080"/>
        <w:jc w:val="both"/>
      </w:pPr>
      <w:r>
        <w:t xml:space="preserve">Peter </w:t>
      </w:r>
      <w:proofErr w:type="spellStart"/>
      <w:r>
        <w:t>Ladische</w:t>
      </w:r>
      <w:r w:rsidR="00BE3F8E">
        <w:t>nsky</w:t>
      </w:r>
      <w:proofErr w:type="spellEnd"/>
    </w:p>
    <w:p w14:paraId="5D82D69C" w14:textId="22AE30E8" w:rsidR="00BE3F8E" w:rsidRDefault="00BE3F8E" w:rsidP="00351EB0">
      <w:pPr>
        <w:pStyle w:val="Listeafsnit"/>
        <w:spacing w:line="276" w:lineRule="auto"/>
        <w:ind w:left="1080"/>
        <w:jc w:val="both"/>
      </w:pPr>
      <w:r>
        <w:t xml:space="preserve">Formand for Grundejerforeningen </w:t>
      </w:r>
      <w:proofErr w:type="spellStart"/>
      <w:r>
        <w:t>Dyrekærgård</w:t>
      </w:r>
      <w:proofErr w:type="spellEnd"/>
    </w:p>
    <w:p w14:paraId="0F970608" w14:textId="2FCF1AE7" w:rsidR="006F2065" w:rsidRDefault="006F2065" w:rsidP="00351EB0">
      <w:pPr>
        <w:pStyle w:val="Listeafsnit"/>
        <w:spacing w:line="276" w:lineRule="auto"/>
        <w:ind w:left="1080"/>
        <w:jc w:val="both"/>
      </w:pPr>
    </w:p>
    <w:p w14:paraId="3747DA06" w14:textId="5A83E44E" w:rsidR="006F2065" w:rsidRDefault="006F2065" w:rsidP="00351EB0">
      <w:pPr>
        <w:pStyle w:val="Listeafsnit"/>
        <w:spacing w:line="276" w:lineRule="auto"/>
        <w:ind w:left="1080"/>
        <w:jc w:val="both"/>
      </w:pPr>
    </w:p>
    <w:p w14:paraId="0A668898" w14:textId="6212633A" w:rsidR="006F2065" w:rsidRDefault="006F2065" w:rsidP="00351EB0">
      <w:pPr>
        <w:jc w:val="both"/>
      </w:pPr>
    </w:p>
    <w:sectPr w:rsidR="006F2065" w:rsidSect="00D268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124"/>
    <w:multiLevelType w:val="hybridMultilevel"/>
    <w:tmpl w:val="7E82BD2E"/>
    <w:lvl w:ilvl="0" w:tplc="5DFCF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36659"/>
    <w:multiLevelType w:val="multilevel"/>
    <w:tmpl w:val="5CF21B72"/>
    <w:lvl w:ilvl="0">
      <w:start w:val="1"/>
      <w:numFmt w:val="decimal"/>
      <w:pStyle w:val="Overskrift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EA5B0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Overskrift2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7A99A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Overskrift3"/>
      <w:lvlText w:val="%1.%2.%3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E2DCA"/>
    <w:multiLevelType w:val="hybridMultilevel"/>
    <w:tmpl w:val="79B235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15A6"/>
    <w:multiLevelType w:val="multilevel"/>
    <w:tmpl w:val="57E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404417"/>
    <w:multiLevelType w:val="hybridMultilevel"/>
    <w:tmpl w:val="802C9A24"/>
    <w:lvl w:ilvl="0" w:tplc="0406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8"/>
  <w:proofState w:spelling="clean" w:grammar="clean"/>
  <w:revisionView w:inkAnnotations="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76"/>
    <w:rsid w:val="00003553"/>
    <w:rsid w:val="000318B0"/>
    <w:rsid w:val="00055397"/>
    <w:rsid w:val="000A1E1E"/>
    <w:rsid w:val="000A52BD"/>
    <w:rsid w:val="000C05A7"/>
    <w:rsid w:val="000C6BCD"/>
    <w:rsid w:val="00116CF3"/>
    <w:rsid w:val="0017153C"/>
    <w:rsid w:val="001A58CD"/>
    <w:rsid w:val="001C5C76"/>
    <w:rsid w:val="001C6165"/>
    <w:rsid w:val="00204EF8"/>
    <w:rsid w:val="002655B3"/>
    <w:rsid w:val="002B2098"/>
    <w:rsid w:val="002D68B3"/>
    <w:rsid w:val="00351EB0"/>
    <w:rsid w:val="00376825"/>
    <w:rsid w:val="003F2765"/>
    <w:rsid w:val="0041794B"/>
    <w:rsid w:val="00472625"/>
    <w:rsid w:val="004B18F8"/>
    <w:rsid w:val="004E0B75"/>
    <w:rsid w:val="004F5D74"/>
    <w:rsid w:val="00553199"/>
    <w:rsid w:val="005777F9"/>
    <w:rsid w:val="00625E24"/>
    <w:rsid w:val="00673F6C"/>
    <w:rsid w:val="006B5B4E"/>
    <w:rsid w:val="006F2065"/>
    <w:rsid w:val="00752940"/>
    <w:rsid w:val="007779BD"/>
    <w:rsid w:val="00803C3C"/>
    <w:rsid w:val="00861535"/>
    <w:rsid w:val="008C7533"/>
    <w:rsid w:val="008E48E4"/>
    <w:rsid w:val="008F115A"/>
    <w:rsid w:val="00912AD8"/>
    <w:rsid w:val="009372BF"/>
    <w:rsid w:val="009B047D"/>
    <w:rsid w:val="009B6DA4"/>
    <w:rsid w:val="009C1219"/>
    <w:rsid w:val="009D740D"/>
    <w:rsid w:val="00A041DD"/>
    <w:rsid w:val="00A052AE"/>
    <w:rsid w:val="00A0788B"/>
    <w:rsid w:val="00A1470E"/>
    <w:rsid w:val="00A250F9"/>
    <w:rsid w:val="00A31540"/>
    <w:rsid w:val="00B1711C"/>
    <w:rsid w:val="00B42A1F"/>
    <w:rsid w:val="00B6430B"/>
    <w:rsid w:val="00B7003E"/>
    <w:rsid w:val="00BE3F8E"/>
    <w:rsid w:val="00CB10FD"/>
    <w:rsid w:val="00CC1962"/>
    <w:rsid w:val="00D03E63"/>
    <w:rsid w:val="00D14663"/>
    <w:rsid w:val="00D22643"/>
    <w:rsid w:val="00D26817"/>
    <w:rsid w:val="00E20FF4"/>
    <w:rsid w:val="00ED61B1"/>
    <w:rsid w:val="00EE3EA2"/>
    <w:rsid w:val="00EE46C7"/>
    <w:rsid w:val="00F01813"/>
    <w:rsid w:val="00F4082D"/>
    <w:rsid w:val="00F75651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B1269"/>
  <w15:chartTrackingRefBased/>
  <w15:docId w15:val="{535085B9-00D4-E444-9089-8D863A62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4663"/>
    <w:rPr>
      <w:rFonts w:ascii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1C5C76"/>
    <w:pPr>
      <w:keepNext/>
      <w:keepLines/>
      <w:numPr>
        <w:numId w:val="3"/>
      </w:numPr>
      <w:spacing w:line="259" w:lineRule="auto"/>
      <w:ind w:left="15" w:hanging="10"/>
      <w:outlineLvl w:val="0"/>
    </w:pPr>
    <w:rPr>
      <w:rFonts w:ascii="Calibri" w:eastAsia="Calibri" w:hAnsi="Calibri" w:cs="Calibri"/>
      <w:color w:val="EA5B0B"/>
      <w:sz w:val="28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1C5C76"/>
    <w:pPr>
      <w:keepNext/>
      <w:keepLines/>
      <w:numPr>
        <w:ilvl w:val="1"/>
        <w:numId w:val="3"/>
      </w:numPr>
      <w:spacing w:line="259" w:lineRule="auto"/>
      <w:ind w:left="10" w:hanging="10"/>
      <w:outlineLvl w:val="1"/>
    </w:pPr>
    <w:rPr>
      <w:rFonts w:ascii="Calibri" w:eastAsia="Calibri" w:hAnsi="Calibri" w:cs="Calibri"/>
      <w:color w:val="7A99AB"/>
      <w:sz w:val="26"/>
      <w:lang w:eastAsia="da-DK"/>
    </w:rPr>
  </w:style>
  <w:style w:type="paragraph" w:styleId="Overskrift3">
    <w:name w:val="heading 3"/>
    <w:next w:val="Normal"/>
    <w:link w:val="Overskrift3Tegn"/>
    <w:uiPriority w:val="9"/>
    <w:unhideWhenUsed/>
    <w:qFormat/>
    <w:rsid w:val="001C5C76"/>
    <w:pPr>
      <w:keepNext/>
      <w:keepLines/>
      <w:numPr>
        <w:ilvl w:val="2"/>
        <w:numId w:val="3"/>
      </w:numPr>
      <w:spacing w:after="3" w:line="259" w:lineRule="auto"/>
      <w:ind w:left="15" w:hanging="10"/>
      <w:outlineLvl w:val="2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20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5C7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5C76"/>
    <w:rPr>
      <w:rFonts w:ascii="Calibri" w:eastAsia="Calibri" w:hAnsi="Calibri" w:cs="Calibri"/>
      <w:color w:val="EA5B0B"/>
      <w:sz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5C76"/>
    <w:rPr>
      <w:rFonts w:ascii="Calibri" w:eastAsia="Calibri" w:hAnsi="Calibri" w:cs="Calibri"/>
      <w:color w:val="7A99AB"/>
      <w:sz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5C76"/>
    <w:rPr>
      <w:rFonts w:ascii="Calibri" w:eastAsia="Calibri" w:hAnsi="Calibri" w:cs="Calibri"/>
      <w:color w:val="000000"/>
      <w:sz w:val="21"/>
      <w:lang w:eastAsia="da-DK"/>
    </w:rPr>
  </w:style>
  <w:style w:type="paragraph" w:customStyle="1" w:styleId="Default">
    <w:name w:val="Default"/>
    <w:rsid w:val="00A1470E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206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Standardskrifttypeiafsnit"/>
    <w:uiPriority w:val="99"/>
    <w:semiHidden/>
    <w:unhideWhenUsed/>
    <w:rsid w:val="006F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gribskov@gribskov.dk?subject=undefin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Christian Denker</dc:creator>
  <cp:keywords/>
  <dc:description/>
  <cp:lastModifiedBy>Flemming Christian Denker</cp:lastModifiedBy>
  <cp:revision>2</cp:revision>
  <dcterms:created xsi:type="dcterms:W3CDTF">2021-07-07T10:02:00Z</dcterms:created>
  <dcterms:modified xsi:type="dcterms:W3CDTF">2021-07-07T10:02:00Z</dcterms:modified>
</cp:coreProperties>
</file>